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3B81" w:rsidRPr="00DC3B81" w:rsidRDefault="00DC3B81" w:rsidP="00DC3B81">
      <w:pPr>
        <w:spacing w:before="100" w:beforeAutospacing="1" w:after="100" w:afterAutospacing="1"/>
        <w:outlineLvl w:val="0"/>
        <w:rPr>
          <w:rFonts w:eastAsia="Times New Roman"/>
          <w:b/>
          <w:bCs/>
          <w:color w:val="FF0000"/>
          <w:kern w:val="36"/>
          <w:sz w:val="24"/>
          <w:szCs w:val="24"/>
        </w:rPr>
      </w:pPr>
      <w:r w:rsidRPr="00DC3B81">
        <w:rPr>
          <w:rFonts w:eastAsia="Times New Roman"/>
          <w:b/>
          <w:bCs/>
          <w:color w:val="FF0000"/>
          <w:kern w:val="36"/>
          <w:sz w:val="24"/>
          <w:szCs w:val="24"/>
        </w:rPr>
        <w:t>[On 60 GHz]</w:t>
      </w:r>
    </w:p>
    <w:p w:rsidR="00DC3B81" w:rsidRPr="00DC3B81" w:rsidRDefault="00DC3B81" w:rsidP="00DC3B81">
      <w:pPr>
        <w:spacing w:before="100" w:beforeAutospacing="1" w:after="100" w:afterAutospacing="1"/>
        <w:outlineLvl w:val="0"/>
        <w:rPr>
          <w:rFonts w:eastAsia="Times New Roman"/>
          <w:b/>
          <w:bCs/>
          <w:kern w:val="36"/>
          <w:sz w:val="24"/>
          <w:szCs w:val="24"/>
        </w:rPr>
      </w:pPr>
      <w:bookmarkStart w:id="0" w:name="_GoBack"/>
      <w:r w:rsidRPr="00DC3B81">
        <w:rPr>
          <w:rFonts w:eastAsia="Times New Roman"/>
          <w:b/>
          <w:bCs/>
          <w:kern w:val="36"/>
          <w:sz w:val="24"/>
          <w:szCs w:val="24"/>
        </w:rPr>
        <w:t>New blog post from Mobile World Congress</w:t>
      </w:r>
    </w:p>
    <w:bookmarkEnd w:id="0"/>
    <w:p w:rsidR="00DC3B81" w:rsidRPr="00DC3B81" w:rsidRDefault="00DC3B81" w:rsidP="00DC3B81">
      <w:pPr>
        <w:spacing w:before="100" w:beforeAutospacing="1" w:after="100" w:afterAutospacing="1"/>
        <w:outlineLvl w:val="0"/>
        <w:rPr>
          <w:rFonts w:eastAsia="Times New Roman"/>
          <w:b/>
          <w:bCs/>
          <w:kern w:val="36"/>
          <w:sz w:val="24"/>
          <w:szCs w:val="24"/>
        </w:rPr>
      </w:pPr>
      <w:r w:rsidRPr="00DC3B81">
        <w:rPr>
          <w:rFonts w:eastAsia="Times New Roman"/>
          <w:b/>
          <w:bCs/>
          <w:kern w:val="36"/>
          <w:sz w:val="24"/>
          <w:szCs w:val="24"/>
        </w:rPr>
        <w:t>7 March 2018</w:t>
      </w:r>
    </w:p>
    <w:p w:rsidR="00DC3B81" w:rsidRPr="00DC3B81" w:rsidRDefault="00DC3B81" w:rsidP="00DC3B81">
      <w:pPr>
        <w:spacing w:before="100" w:beforeAutospacing="1" w:after="100" w:afterAutospacing="1"/>
        <w:outlineLvl w:val="0"/>
        <w:rPr>
          <w:rFonts w:eastAsia="Times New Roman"/>
          <w:bCs/>
          <w:kern w:val="36"/>
          <w:sz w:val="24"/>
          <w:szCs w:val="24"/>
        </w:rPr>
      </w:pPr>
      <w:hyperlink r:id="rId5" w:history="1">
        <w:r w:rsidRPr="00DC3B81">
          <w:rPr>
            <w:rStyle w:val="Hyperlink"/>
            <w:rFonts w:eastAsia="Times New Roman"/>
            <w:bCs/>
            <w:kern w:val="36"/>
            <w:sz w:val="24"/>
            <w:szCs w:val="24"/>
          </w:rPr>
          <w:t>https://www.siversima.com/news/mobile-world-congress-2018/</w:t>
        </w:r>
      </w:hyperlink>
    </w:p>
    <w:p w:rsidR="00DC3B81" w:rsidRPr="00DC3B81" w:rsidRDefault="00DC3B81" w:rsidP="00DC3B81">
      <w:pPr>
        <w:spacing w:before="100" w:beforeAutospacing="1" w:after="100" w:afterAutospacing="1"/>
        <w:rPr>
          <w:sz w:val="24"/>
          <w:szCs w:val="24"/>
        </w:rPr>
      </w:pPr>
      <w:r w:rsidRPr="00DC3B81">
        <w:rPr>
          <w:sz w:val="24"/>
          <w:szCs w:val="24"/>
        </w:rPr>
        <w:t xml:space="preserve">Mobile World Congress (MWC) is the world’s largest gathering for the mobile industry, organized by the GSMA and held in the Mobile World Capital Barcelona, 26 February – 1 March 2018. </w:t>
      </w:r>
      <w:proofErr w:type="spellStart"/>
      <w:r w:rsidRPr="00DC3B81">
        <w:rPr>
          <w:sz w:val="24"/>
          <w:szCs w:val="24"/>
        </w:rPr>
        <w:t>Sivers</w:t>
      </w:r>
      <w:proofErr w:type="spellEnd"/>
      <w:r w:rsidRPr="00DC3B81">
        <w:rPr>
          <w:sz w:val="24"/>
          <w:szCs w:val="24"/>
        </w:rPr>
        <w:t xml:space="preserve"> IMA prefers to use a private room where we have meetings with invited guests. In this way, we can share relevant information with our customers without revealing important and confidential information to the competitors. </w:t>
      </w:r>
      <w:r w:rsidRPr="00DC3B81">
        <w:rPr>
          <w:sz w:val="24"/>
          <w:szCs w:val="24"/>
          <w:highlight w:val="yellow"/>
        </w:rPr>
        <w:t>This year we had an extensive demo showing three connected 60 GHz nodes</w:t>
      </w:r>
      <w:r w:rsidRPr="00DC3B81">
        <w:rPr>
          <w:sz w:val="24"/>
          <w:szCs w:val="24"/>
        </w:rPr>
        <w:t xml:space="preserve">, using our best in class </w:t>
      </w:r>
      <w:proofErr w:type="spellStart"/>
      <w:r w:rsidRPr="00DC3B81">
        <w:rPr>
          <w:sz w:val="24"/>
          <w:szCs w:val="24"/>
          <w:highlight w:val="yellow"/>
        </w:rPr>
        <w:t>WiGig</w:t>
      </w:r>
      <w:proofErr w:type="spellEnd"/>
      <w:r w:rsidRPr="00DC3B81">
        <w:rPr>
          <w:sz w:val="24"/>
          <w:szCs w:val="24"/>
        </w:rPr>
        <w:t xml:space="preserve"> RF module with the IDT </w:t>
      </w:r>
      <w:proofErr w:type="spellStart"/>
      <w:r w:rsidRPr="00DC3B81">
        <w:rPr>
          <w:sz w:val="24"/>
          <w:szCs w:val="24"/>
        </w:rPr>
        <w:t>Rapidwave</w:t>
      </w:r>
      <w:proofErr w:type="spellEnd"/>
      <w:r w:rsidRPr="00DC3B81">
        <w:rPr>
          <w:sz w:val="24"/>
          <w:szCs w:val="24"/>
        </w:rPr>
        <w:t xml:space="preserve"> modem platform (see picture below of one of the nodes)</w:t>
      </w:r>
      <w:proofErr w:type="gramStart"/>
      <w:r w:rsidRPr="00DC3B81">
        <w:rPr>
          <w:sz w:val="24"/>
          <w:szCs w:val="24"/>
        </w:rPr>
        <w:t>.One</w:t>
      </w:r>
      <w:proofErr w:type="gramEnd"/>
      <w:r w:rsidRPr="00DC3B81">
        <w:rPr>
          <w:sz w:val="24"/>
          <w:szCs w:val="24"/>
        </w:rPr>
        <w:t xml:space="preserve"> of the 60 GHz nodes in the demo with </w:t>
      </w:r>
      <w:proofErr w:type="spellStart"/>
      <w:r w:rsidRPr="00DC3B81">
        <w:rPr>
          <w:sz w:val="24"/>
          <w:szCs w:val="24"/>
        </w:rPr>
        <w:t>Sivers</w:t>
      </w:r>
      <w:proofErr w:type="spellEnd"/>
      <w:r w:rsidRPr="00DC3B81">
        <w:rPr>
          <w:sz w:val="24"/>
          <w:szCs w:val="24"/>
        </w:rPr>
        <w:t xml:space="preserve"> </w:t>
      </w:r>
      <w:proofErr w:type="spellStart"/>
      <w:r w:rsidRPr="00DC3B81">
        <w:rPr>
          <w:sz w:val="24"/>
          <w:szCs w:val="24"/>
        </w:rPr>
        <w:t>WiGiG</w:t>
      </w:r>
      <w:proofErr w:type="spellEnd"/>
      <w:r w:rsidRPr="00DC3B81">
        <w:rPr>
          <w:sz w:val="24"/>
          <w:szCs w:val="24"/>
        </w:rPr>
        <w:t xml:space="preserve"> RF and IDT </w:t>
      </w:r>
      <w:proofErr w:type="spellStart"/>
      <w:r w:rsidRPr="00DC3B81">
        <w:rPr>
          <w:sz w:val="24"/>
          <w:szCs w:val="24"/>
        </w:rPr>
        <w:t>Rapidwave</w:t>
      </w:r>
      <w:proofErr w:type="spellEnd"/>
      <w:r w:rsidRPr="00DC3B81">
        <w:rPr>
          <w:sz w:val="24"/>
          <w:szCs w:val="24"/>
        </w:rPr>
        <w:t xml:space="preserve"> modem providing 4.6 </w:t>
      </w:r>
      <w:proofErr w:type="spellStart"/>
      <w:r w:rsidRPr="00DC3B81">
        <w:rPr>
          <w:sz w:val="24"/>
          <w:szCs w:val="24"/>
        </w:rPr>
        <w:t>Gbps</w:t>
      </w:r>
      <w:proofErr w:type="spellEnd"/>
      <w:r w:rsidRPr="00DC3B81">
        <w:rPr>
          <w:sz w:val="24"/>
          <w:szCs w:val="24"/>
        </w:rPr>
        <w:t xml:space="preserve"> gross data traffic and 3 </w:t>
      </w:r>
      <w:proofErr w:type="spellStart"/>
      <w:r w:rsidRPr="00DC3B81">
        <w:rPr>
          <w:sz w:val="24"/>
          <w:szCs w:val="24"/>
        </w:rPr>
        <w:t>Gbps</w:t>
      </w:r>
      <w:proofErr w:type="spellEnd"/>
      <w:r w:rsidRPr="00DC3B81">
        <w:rPr>
          <w:sz w:val="24"/>
          <w:szCs w:val="24"/>
        </w:rPr>
        <w:t xml:space="preserve"> throughput </w:t>
      </w:r>
    </w:p>
    <w:p w:rsidR="00DC3B81" w:rsidRPr="00DC3B81" w:rsidRDefault="00DC3B81" w:rsidP="00DC3B81">
      <w:pPr>
        <w:spacing w:before="100" w:beforeAutospacing="1" w:after="100" w:afterAutospacing="1"/>
        <w:rPr>
          <w:sz w:val="24"/>
          <w:szCs w:val="24"/>
        </w:rPr>
      </w:pPr>
      <w:r w:rsidRPr="00DC3B81">
        <w:rPr>
          <w:sz w:val="24"/>
          <w:szCs w:val="24"/>
        </w:rPr>
        <w:t xml:space="preserve">We had approximately 30 meetings in the demo room and many more at our customers’ and partners’ booths. In total we had approximately 50 different relevant meetings within the eco-system. On top of this, we also grabbed the opportunity to look at the overall market message, as well as what our partners, customers and </w:t>
      </w:r>
      <w:proofErr w:type="gramStart"/>
      <w:r w:rsidRPr="00DC3B81">
        <w:rPr>
          <w:sz w:val="24"/>
          <w:szCs w:val="24"/>
        </w:rPr>
        <w:t>competition were</w:t>
      </w:r>
      <w:proofErr w:type="gramEnd"/>
      <w:r w:rsidRPr="00DC3B81">
        <w:rPr>
          <w:sz w:val="24"/>
          <w:szCs w:val="24"/>
        </w:rPr>
        <w:t xml:space="preserve"> showing. Below we like to give </w:t>
      </w:r>
      <w:r w:rsidRPr="00DC3B81">
        <w:rPr>
          <w:sz w:val="24"/>
          <w:szCs w:val="24"/>
          <w:highlight w:val="yellow"/>
        </w:rPr>
        <w:t xml:space="preserve">our view of the state of the 60 GHz </w:t>
      </w:r>
      <w:proofErr w:type="spellStart"/>
      <w:r w:rsidRPr="00DC3B81">
        <w:rPr>
          <w:sz w:val="24"/>
          <w:szCs w:val="24"/>
          <w:highlight w:val="yellow"/>
        </w:rPr>
        <w:t>WiGig</w:t>
      </w:r>
      <w:proofErr w:type="spellEnd"/>
      <w:r w:rsidRPr="00DC3B81">
        <w:rPr>
          <w:sz w:val="24"/>
          <w:szCs w:val="24"/>
        </w:rPr>
        <w:t xml:space="preserve"> and </w:t>
      </w:r>
      <w:proofErr w:type="gramStart"/>
      <w:r w:rsidRPr="00DC3B81">
        <w:rPr>
          <w:sz w:val="24"/>
          <w:szCs w:val="24"/>
        </w:rPr>
        <w:t>5G (28-39 GHz) infrastructure</w:t>
      </w:r>
      <w:proofErr w:type="gramEnd"/>
      <w:r w:rsidRPr="00DC3B81">
        <w:rPr>
          <w:sz w:val="24"/>
          <w:szCs w:val="24"/>
        </w:rPr>
        <w:t xml:space="preserve"> market. </w:t>
      </w:r>
    </w:p>
    <w:p w:rsidR="00DC3B81" w:rsidRPr="00DC3B81" w:rsidRDefault="00DC3B81" w:rsidP="00DC3B81">
      <w:pPr>
        <w:spacing w:before="100" w:beforeAutospacing="1" w:after="100" w:afterAutospacing="1"/>
        <w:rPr>
          <w:sz w:val="24"/>
          <w:szCs w:val="24"/>
        </w:rPr>
      </w:pPr>
      <w:r w:rsidRPr="00DC3B81">
        <w:rPr>
          <w:b/>
          <w:sz w:val="24"/>
          <w:szCs w:val="24"/>
          <w:highlight w:val="yellow"/>
        </w:rPr>
        <w:t xml:space="preserve">60 GHz </w:t>
      </w:r>
      <w:proofErr w:type="spellStart"/>
      <w:r w:rsidRPr="00DC3B81">
        <w:rPr>
          <w:b/>
          <w:sz w:val="24"/>
          <w:szCs w:val="24"/>
          <w:highlight w:val="yellow"/>
        </w:rPr>
        <w:t>WiGig</w:t>
      </w:r>
      <w:proofErr w:type="spellEnd"/>
      <w:r w:rsidRPr="00DC3B81">
        <w:rPr>
          <w:b/>
          <w:sz w:val="24"/>
          <w:szCs w:val="24"/>
          <w:highlight w:val="yellow"/>
        </w:rPr>
        <w:t xml:space="preserve"> (802.11ad) infrastructure solutions</w:t>
      </w:r>
      <w:r w:rsidRPr="00DC3B81">
        <w:rPr>
          <w:b/>
          <w:sz w:val="24"/>
          <w:szCs w:val="24"/>
        </w:rPr>
        <w:br/>
      </w:r>
      <w:r w:rsidRPr="00DC3B81">
        <w:rPr>
          <w:sz w:val="24"/>
          <w:szCs w:val="24"/>
        </w:rPr>
        <w:t xml:space="preserve">It is clear that our focus on delivering a true </w:t>
      </w:r>
      <w:r w:rsidRPr="00DC3B81">
        <w:rPr>
          <w:sz w:val="24"/>
          <w:szCs w:val="24"/>
          <w:highlight w:val="yellow"/>
        </w:rPr>
        <w:t xml:space="preserve">60 GHz </w:t>
      </w:r>
      <w:proofErr w:type="spellStart"/>
      <w:r w:rsidRPr="00DC3B81">
        <w:rPr>
          <w:sz w:val="24"/>
          <w:szCs w:val="24"/>
          <w:highlight w:val="yellow"/>
        </w:rPr>
        <w:t>WiGig</w:t>
      </w:r>
      <w:proofErr w:type="spellEnd"/>
      <w:r w:rsidRPr="00DC3B81">
        <w:rPr>
          <w:sz w:val="24"/>
          <w:szCs w:val="24"/>
        </w:rPr>
        <w:t xml:space="preserve"> infrastructure RF solution is the correct strategy. We get feedback from the market that we have the right solution and that some of the current CMOS solution, initially made for consumer electronics, is not able to deliver on their promises, having issues with meeting the wanted output power levels as well as industrial grade temperature requirements (-40 to +85 degrees Celsius). Also, another issue is the lack of robustness against interference, which happens when you try to reach &gt; 300 meters with a solution that was built for 10 meters. For example, our customer CCS has had a tremendous pull for its 12 </w:t>
      </w:r>
      <w:proofErr w:type="spellStart"/>
      <w:r w:rsidRPr="00DC3B81">
        <w:rPr>
          <w:sz w:val="24"/>
          <w:szCs w:val="24"/>
        </w:rPr>
        <w:t>Gbps</w:t>
      </w:r>
      <w:proofErr w:type="spellEnd"/>
      <w:r w:rsidRPr="00DC3B81">
        <w:rPr>
          <w:sz w:val="24"/>
          <w:szCs w:val="24"/>
        </w:rPr>
        <w:t xml:space="preserve">, 60 GHz </w:t>
      </w:r>
      <w:proofErr w:type="spellStart"/>
      <w:r w:rsidRPr="00DC3B81">
        <w:rPr>
          <w:sz w:val="24"/>
          <w:szCs w:val="24"/>
        </w:rPr>
        <w:t>Metnet</w:t>
      </w:r>
      <w:proofErr w:type="spellEnd"/>
      <w:r w:rsidRPr="00DC3B81">
        <w:rPr>
          <w:sz w:val="24"/>
          <w:szCs w:val="24"/>
        </w:rPr>
        <w:t xml:space="preserve"> node, which was launched at MWC. CCS’s node addresses all off the above </w:t>
      </w:r>
      <w:proofErr w:type="gramStart"/>
      <w:r w:rsidRPr="00DC3B81">
        <w:rPr>
          <w:sz w:val="24"/>
          <w:szCs w:val="24"/>
        </w:rPr>
        <w:t>issues which</w:t>
      </w:r>
      <w:proofErr w:type="gramEnd"/>
      <w:r w:rsidRPr="00DC3B81">
        <w:rPr>
          <w:sz w:val="24"/>
          <w:szCs w:val="24"/>
        </w:rPr>
        <w:t xml:space="preserve"> has resulted in great attention. Being able to showcase </w:t>
      </w:r>
      <w:proofErr w:type="spellStart"/>
      <w:r w:rsidRPr="00DC3B81">
        <w:rPr>
          <w:sz w:val="24"/>
          <w:szCs w:val="24"/>
        </w:rPr>
        <w:t>Sivers</w:t>
      </w:r>
      <w:proofErr w:type="spellEnd"/>
      <w:r w:rsidRPr="00DC3B81">
        <w:rPr>
          <w:sz w:val="24"/>
          <w:szCs w:val="24"/>
        </w:rPr>
        <w:t xml:space="preserve"> IMA RF module in a real product, is of course invaluable. Doing this with CCS with its well-known and globally recognized </w:t>
      </w:r>
      <w:proofErr w:type="spellStart"/>
      <w:r w:rsidRPr="00DC3B81">
        <w:rPr>
          <w:sz w:val="24"/>
          <w:szCs w:val="24"/>
        </w:rPr>
        <w:t>Metnet</w:t>
      </w:r>
      <w:proofErr w:type="spellEnd"/>
      <w:r w:rsidRPr="00DC3B81">
        <w:rPr>
          <w:sz w:val="24"/>
          <w:szCs w:val="24"/>
        </w:rPr>
        <w:t xml:space="preserve"> self-organizing system has been of great value to </w:t>
      </w:r>
      <w:proofErr w:type="spellStart"/>
      <w:r w:rsidRPr="00DC3B81">
        <w:rPr>
          <w:sz w:val="24"/>
          <w:szCs w:val="24"/>
        </w:rPr>
        <w:t>Sivers</w:t>
      </w:r>
      <w:proofErr w:type="spellEnd"/>
      <w:r w:rsidRPr="00DC3B81">
        <w:rPr>
          <w:sz w:val="24"/>
          <w:szCs w:val="24"/>
        </w:rPr>
        <w:t xml:space="preserve"> IMA. Also, what is worth noticing is that </w:t>
      </w:r>
      <w:proofErr w:type="spellStart"/>
      <w:r w:rsidRPr="00DC3B81">
        <w:rPr>
          <w:sz w:val="24"/>
          <w:szCs w:val="24"/>
          <w:highlight w:val="yellow"/>
        </w:rPr>
        <w:t>Sivers</w:t>
      </w:r>
      <w:proofErr w:type="spellEnd"/>
      <w:r w:rsidRPr="00DC3B81">
        <w:rPr>
          <w:sz w:val="24"/>
          <w:szCs w:val="24"/>
          <w:highlight w:val="yellow"/>
        </w:rPr>
        <w:t xml:space="preserve"> IMA RFIC is still the only chip covering the 66-71 GHz part of the FCC V-band, which is a unique selling point for our solution</w:t>
      </w:r>
      <w:r w:rsidRPr="00DC3B81">
        <w:rPr>
          <w:sz w:val="24"/>
          <w:szCs w:val="24"/>
        </w:rPr>
        <w:t xml:space="preserve">. It is not just that we can offer </w:t>
      </w:r>
      <w:proofErr w:type="gramStart"/>
      <w:r w:rsidRPr="00DC3B81">
        <w:rPr>
          <w:sz w:val="24"/>
          <w:szCs w:val="24"/>
        </w:rPr>
        <w:t>5 GHz extra bandwidth</w:t>
      </w:r>
      <w:proofErr w:type="gramEnd"/>
      <w:r w:rsidRPr="00DC3B81">
        <w:rPr>
          <w:sz w:val="24"/>
          <w:szCs w:val="24"/>
        </w:rPr>
        <w:t xml:space="preserve">, </w:t>
      </w:r>
      <w:r w:rsidRPr="00DC3B81">
        <w:rPr>
          <w:sz w:val="24"/>
          <w:szCs w:val="24"/>
          <w:highlight w:val="yellow"/>
        </w:rPr>
        <w:t>it is also the best part of the 60 GHz band when it comes to getting the best reach in meters</w:t>
      </w:r>
      <w:r w:rsidRPr="00DC3B81">
        <w:rPr>
          <w:sz w:val="24"/>
          <w:szCs w:val="24"/>
        </w:rPr>
        <w:t>.</w:t>
      </w:r>
      <w:r w:rsidRPr="00DC3B81">
        <w:rPr>
          <w:sz w:val="24"/>
          <w:szCs w:val="24"/>
        </w:rPr>
        <w:br/>
        <w:t xml:space="preserve">Also, our partnerships around </w:t>
      </w:r>
      <w:proofErr w:type="spellStart"/>
      <w:r w:rsidRPr="00DC3B81">
        <w:rPr>
          <w:sz w:val="24"/>
          <w:szCs w:val="24"/>
        </w:rPr>
        <w:t>WiGig</w:t>
      </w:r>
      <w:proofErr w:type="spellEnd"/>
      <w:r w:rsidRPr="00DC3B81">
        <w:rPr>
          <w:sz w:val="24"/>
          <w:szCs w:val="24"/>
        </w:rPr>
        <w:t xml:space="preserve"> (and 5G) are very important factors, where one of the big “Wow-Factors” has been the RF-module that Fujikura now can show with our RFIC. There </w:t>
      </w:r>
      <w:proofErr w:type="gramStart"/>
      <w:r w:rsidRPr="00DC3B81">
        <w:rPr>
          <w:sz w:val="24"/>
          <w:szCs w:val="24"/>
        </w:rPr>
        <w:t>was</w:t>
      </w:r>
      <w:proofErr w:type="gramEnd"/>
      <w:r w:rsidRPr="00DC3B81">
        <w:rPr>
          <w:sz w:val="24"/>
          <w:szCs w:val="24"/>
        </w:rPr>
        <w:t xml:space="preserve"> many Wows uttered by people who </w:t>
      </w:r>
      <w:r w:rsidRPr="00DC3B81">
        <w:rPr>
          <w:sz w:val="24"/>
          <w:szCs w:val="24"/>
        </w:rPr>
        <w:lastRenderedPageBreak/>
        <w:t>saw this module. Below you can see some pictures of this module and how thin the antenna module is, it is less than 1 mm thick (see below).</w:t>
      </w:r>
    </w:p>
    <w:p w:rsidR="00DC3B81" w:rsidRPr="00DC3B81" w:rsidRDefault="00DC3B81" w:rsidP="00DC3B81">
      <w:pPr>
        <w:spacing w:before="100" w:beforeAutospacing="1" w:after="100" w:afterAutospacing="1"/>
        <w:rPr>
          <w:sz w:val="24"/>
          <w:szCs w:val="24"/>
        </w:rPr>
      </w:pPr>
      <w:r>
        <w:rPr>
          <w:noProof/>
          <w:sz w:val="24"/>
          <w:szCs w:val="24"/>
          <w:lang w:val="en-US"/>
        </w:rPr>
        <w:drawing>
          <wp:inline distT="0" distB="0" distL="0" distR="0">
            <wp:extent cx="5270500" cy="1504315"/>
            <wp:effectExtent l="0" t="0" r="1270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02-24 at 21.38.06.png"/>
                    <pic:cNvPicPr/>
                  </pic:nvPicPr>
                  <pic:blipFill>
                    <a:blip r:embed="rId6">
                      <a:extLst>
                        <a:ext uri="{28A0092B-C50C-407E-A947-70E740481C1C}">
                          <a14:useLocalDpi xmlns:a14="http://schemas.microsoft.com/office/drawing/2010/main" val="0"/>
                        </a:ext>
                      </a:extLst>
                    </a:blip>
                    <a:stretch>
                      <a:fillRect/>
                    </a:stretch>
                  </pic:blipFill>
                  <pic:spPr>
                    <a:xfrm>
                      <a:off x="0" y="0"/>
                      <a:ext cx="5270500" cy="1504315"/>
                    </a:xfrm>
                    <a:prstGeom prst="rect">
                      <a:avLst/>
                    </a:prstGeom>
                  </pic:spPr>
                </pic:pic>
              </a:graphicData>
            </a:graphic>
          </wp:inline>
        </w:drawing>
      </w:r>
      <w:r w:rsidRPr="00DC3B81">
        <w:rPr>
          <w:sz w:val="24"/>
          <w:szCs w:val="24"/>
        </w:rPr>
        <w:t xml:space="preserve">Fujikura 60 GHz LCP antenna module with </w:t>
      </w:r>
      <w:proofErr w:type="spellStart"/>
      <w:r w:rsidRPr="00DC3B81">
        <w:rPr>
          <w:sz w:val="24"/>
          <w:szCs w:val="24"/>
        </w:rPr>
        <w:t>Sivers</w:t>
      </w:r>
      <w:proofErr w:type="spellEnd"/>
      <w:r w:rsidRPr="00DC3B81">
        <w:rPr>
          <w:sz w:val="24"/>
          <w:szCs w:val="24"/>
        </w:rPr>
        <w:t xml:space="preserve"> IMA 60 GHz RFIC</w:t>
      </w:r>
    </w:p>
    <w:p w:rsidR="00DC3B81" w:rsidRPr="00DC3B81" w:rsidRDefault="00DC3B81" w:rsidP="00DC3B81">
      <w:pPr>
        <w:spacing w:before="100" w:beforeAutospacing="1" w:after="100" w:afterAutospacing="1"/>
        <w:rPr>
          <w:sz w:val="24"/>
          <w:szCs w:val="24"/>
        </w:rPr>
      </w:pPr>
      <w:r w:rsidRPr="00DC3B81">
        <w:rPr>
          <w:sz w:val="24"/>
          <w:szCs w:val="24"/>
        </w:rPr>
        <w:t xml:space="preserve">With </w:t>
      </w:r>
      <w:proofErr w:type="spellStart"/>
      <w:r w:rsidRPr="00DC3B81">
        <w:rPr>
          <w:sz w:val="24"/>
          <w:szCs w:val="24"/>
          <w:highlight w:val="yellow"/>
        </w:rPr>
        <w:t>Sivers</w:t>
      </w:r>
      <w:proofErr w:type="spellEnd"/>
      <w:r w:rsidRPr="00DC3B81">
        <w:rPr>
          <w:sz w:val="24"/>
          <w:szCs w:val="24"/>
          <w:highlight w:val="yellow"/>
        </w:rPr>
        <w:t xml:space="preserve"> IMA 60 GHz</w:t>
      </w:r>
      <w:r w:rsidRPr="00DC3B81">
        <w:rPr>
          <w:sz w:val="24"/>
          <w:szCs w:val="24"/>
        </w:rPr>
        <w:t xml:space="preserve"> RFIC and Fujikura LCP based antenna, the total link budget is approximately 125-130 </w:t>
      </w:r>
      <w:proofErr w:type="gramStart"/>
      <w:r w:rsidRPr="00DC3B81">
        <w:rPr>
          <w:sz w:val="24"/>
          <w:szCs w:val="24"/>
        </w:rPr>
        <w:t>dB which</w:t>
      </w:r>
      <w:proofErr w:type="gramEnd"/>
      <w:r w:rsidRPr="00DC3B81">
        <w:rPr>
          <w:sz w:val="24"/>
          <w:szCs w:val="24"/>
        </w:rPr>
        <w:t xml:space="preserve"> </w:t>
      </w:r>
      <w:r w:rsidRPr="00DC3B81">
        <w:rPr>
          <w:sz w:val="24"/>
          <w:szCs w:val="24"/>
          <w:highlight w:val="yellow"/>
        </w:rPr>
        <w:t>gives a total distance of approximately 400-500 meters</w:t>
      </w:r>
      <w:r w:rsidRPr="00DC3B81">
        <w:rPr>
          <w:sz w:val="24"/>
          <w:szCs w:val="24"/>
        </w:rPr>
        <w:t xml:space="preserve"> (at 69 GHz, Rain zone E, 99,99% availability, 1-2 GHz bandwidth). As you can see in the graph below, the </w:t>
      </w:r>
      <w:r w:rsidRPr="00DC3B81">
        <w:rPr>
          <w:sz w:val="24"/>
          <w:szCs w:val="24"/>
          <w:highlight w:val="yellow"/>
        </w:rPr>
        <w:t>atmospheric absorption</w:t>
      </w:r>
      <w:r w:rsidRPr="00DC3B81">
        <w:rPr>
          <w:sz w:val="24"/>
          <w:szCs w:val="24"/>
        </w:rPr>
        <w:t xml:space="preserve"> is even less for 5G frequencies at 28 GHz, hence the distance would be even longer for 5G frequencies at 28 GHz (attenuation is 0.15 dB/km </w:t>
      </w:r>
      <w:proofErr w:type="spellStart"/>
      <w:r w:rsidRPr="00DC3B81">
        <w:rPr>
          <w:sz w:val="24"/>
          <w:szCs w:val="24"/>
        </w:rPr>
        <w:t>vs</w:t>
      </w:r>
      <w:proofErr w:type="spellEnd"/>
      <w:r w:rsidRPr="00DC3B81">
        <w:rPr>
          <w:sz w:val="24"/>
          <w:szCs w:val="24"/>
        </w:rPr>
        <w:t xml:space="preserve"> 2 dB/km). </w:t>
      </w:r>
    </w:p>
    <w:p w:rsidR="00DC3B81" w:rsidRDefault="00DC3B81" w:rsidP="00DC3B81">
      <w:pPr>
        <w:spacing w:before="100" w:beforeAutospacing="1" w:after="100" w:afterAutospacing="1"/>
        <w:rPr>
          <w:sz w:val="24"/>
          <w:szCs w:val="24"/>
        </w:rPr>
      </w:pPr>
      <w:r>
        <w:rPr>
          <w:noProof/>
          <w:sz w:val="24"/>
          <w:szCs w:val="24"/>
          <w:lang w:val="en-US"/>
        </w:rPr>
        <w:drawing>
          <wp:inline distT="0" distB="0" distL="0" distR="0">
            <wp:extent cx="5270500" cy="2973705"/>
            <wp:effectExtent l="0" t="0" r="1270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0-02-24 at 21.39.37.png"/>
                    <pic:cNvPicPr/>
                  </pic:nvPicPr>
                  <pic:blipFill>
                    <a:blip r:embed="rId7">
                      <a:extLst>
                        <a:ext uri="{28A0092B-C50C-407E-A947-70E740481C1C}">
                          <a14:useLocalDpi xmlns:a14="http://schemas.microsoft.com/office/drawing/2010/main" val="0"/>
                        </a:ext>
                      </a:extLst>
                    </a:blip>
                    <a:stretch>
                      <a:fillRect/>
                    </a:stretch>
                  </pic:blipFill>
                  <pic:spPr>
                    <a:xfrm>
                      <a:off x="0" y="0"/>
                      <a:ext cx="5270500" cy="2973705"/>
                    </a:xfrm>
                    <a:prstGeom prst="rect">
                      <a:avLst/>
                    </a:prstGeom>
                  </pic:spPr>
                </pic:pic>
              </a:graphicData>
            </a:graphic>
          </wp:inline>
        </w:drawing>
      </w:r>
      <w:r w:rsidRPr="00DC3B81">
        <w:rPr>
          <w:sz w:val="24"/>
          <w:szCs w:val="24"/>
          <w:highlight w:val="yellow"/>
        </w:rPr>
        <w:t xml:space="preserve">Atmospheric </w:t>
      </w:r>
      <w:proofErr w:type="gramStart"/>
      <w:r w:rsidRPr="00DC3B81">
        <w:rPr>
          <w:sz w:val="24"/>
          <w:szCs w:val="24"/>
          <w:highlight w:val="yellow"/>
        </w:rPr>
        <w:t>absorption</w:t>
      </w:r>
      <w:r w:rsidRPr="00DC3B81">
        <w:rPr>
          <w:color w:val="FF0000"/>
          <w:sz w:val="24"/>
          <w:szCs w:val="24"/>
        </w:rPr>
        <w:t>[</w:t>
      </w:r>
      <w:proofErr w:type="gramEnd"/>
      <w:r w:rsidRPr="00DC3B81">
        <w:rPr>
          <w:color w:val="FF0000"/>
          <w:sz w:val="24"/>
          <w:szCs w:val="24"/>
        </w:rPr>
        <w:t>*]</w:t>
      </w:r>
      <w:r w:rsidRPr="00DC3B81">
        <w:rPr>
          <w:sz w:val="24"/>
          <w:szCs w:val="24"/>
        </w:rPr>
        <w:t xml:space="preserve"> of </w:t>
      </w:r>
      <w:proofErr w:type="spellStart"/>
      <w:r w:rsidRPr="00DC3B81">
        <w:rPr>
          <w:sz w:val="24"/>
          <w:szCs w:val="24"/>
        </w:rPr>
        <w:t>millimeter</w:t>
      </w:r>
      <w:proofErr w:type="spellEnd"/>
      <w:r w:rsidRPr="00DC3B81">
        <w:rPr>
          <w:sz w:val="24"/>
          <w:szCs w:val="24"/>
        </w:rPr>
        <w:t xml:space="preserve"> waves: 28 GHz = 0.15 dB/km, 60 GHz = 15 dB/km, 69 GHz = 2 dB/km </w:t>
      </w:r>
    </w:p>
    <w:p w:rsidR="00DC3B81" w:rsidRPr="00DC3B81" w:rsidRDefault="00DC3B81" w:rsidP="00DC3B81">
      <w:pPr>
        <w:rPr>
          <w:sz w:val="24"/>
          <w:szCs w:val="24"/>
        </w:rPr>
      </w:pPr>
      <w:r w:rsidRPr="00DC3B81">
        <w:rPr>
          <w:color w:val="FF0000"/>
          <w:sz w:val="24"/>
          <w:szCs w:val="24"/>
        </w:rPr>
        <w:t>[*</w:t>
      </w:r>
      <w:r w:rsidRPr="00DC3B81">
        <w:rPr>
          <w:rFonts w:eastAsia="Times New Roman" w:cs="Times New Roman"/>
          <w:color w:val="FF0000"/>
        </w:rPr>
        <w:t>Absorption by the atmosphere occurs when</w:t>
      </w:r>
      <w:r>
        <w:rPr>
          <w:rFonts w:eastAsia="Times New Roman" w:cs="Times New Roman"/>
        </w:rPr>
        <w:t xml:space="preserve"> </w:t>
      </w:r>
      <w:hyperlink r:id="rId8" w:tooltip="Learn more about Gaseous Molecule from ScienceDirect's AI-generated Topic Pages" w:history="1">
        <w:r>
          <w:rPr>
            <w:rStyle w:val="Hyperlink"/>
            <w:rFonts w:eastAsia="Times New Roman" w:cs="Times New Roman"/>
          </w:rPr>
          <w:t>gaseous molecules</w:t>
        </w:r>
      </w:hyperlink>
      <w:r>
        <w:rPr>
          <w:rFonts w:eastAsia="Times New Roman" w:cs="Times New Roman"/>
        </w:rPr>
        <w:t xml:space="preserve"> </w:t>
      </w:r>
      <w:r w:rsidRPr="00DC3B81">
        <w:rPr>
          <w:rFonts w:eastAsia="Times New Roman" w:cs="Times New Roman"/>
          <w:color w:val="FF0000"/>
        </w:rPr>
        <w:t>with permanent</w:t>
      </w:r>
      <w:r>
        <w:rPr>
          <w:rFonts w:eastAsia="Times New Roman" w:cs="Times New Roman"/>
        </w:rPr>
        <w:t xml:space="preserve"> </w:t>
      </w:r>
      <w:hyperlink r:id="rId9" w:tooltip="Learn more about Dipole Moment from ScienceDirect's AI-generated Topic Pages" w:history="1">
        <w:r>
          <w:rPr>
            <w:rStyle w:val="Hyperlink"/>
            <w:rFonts w:eastAsia="Times New Roman" w:cs="Times New Roman"/>
          </w:rPr>
          <w:t>dipole moments</w:t>
        </w:r>
      </w:hyperlink>
      <w:r>
        <w:rPr>
          <w:rFonts w:eastAsia="Times New Roman" w:cs="Times New Roman"/>
        </w:rPr>
        <w:t xml:space="preserve"> </w:t>
      </w:r>
      <w:r w:rsidRPr="00DC3B81">
        <w:rPr>
          <w:rFonts w:eastAsia="Times New Roman" w:cs="Times New Roman"/>
          <w:color w:val="FF0000"/>
        </w:rPr>
        <w:t>couple the electric or magnetic components of the microwave field to their</w:t>
      </w:r>
      <w:r>
        <w:rPr>
          <w:rFonts w:eastAsia="Times New Roman" w:cs="Times New Roman"/>
        </w:rPr>
        <w:t xml:space="preserve"> </w:t>
      </w:r>
      <w:hyperlink r:id="rId10" w:tooltip="Learn more about Rotational Energy from ScienceDirect's AI-generated Topic Pages" w:history="1">
        <w:r>
          <w:rPr>
            <w:rStyle w:val="Hyperlink"/>
            <w:rFonts w:eastAsia="Times New Roman" w:cs="Times New Roman"/>
          </w:rPr>
          <w:t>rotational energy</w:t>
        </w:r>
      </w:hyperlink>
      <w:r>
        <w:rPr>
          <w:rFonts w:eastAsia="Times New Roman" w:cs="Times New Roman"/>
        </w:rPr>
        <w:t xml:space="preserve"> </w:t>
      </w:r>
      <w:r w:rsidRPr="00DC3B81">
        <w:rPr>
          <w:rFonts w:eastAsia="Times New Roman" w:cs="Times New Roman"/>
          <w:color w:val="FF0000"/>
        </w:rPr>
        <w:t xml:space="preserve">levels. </w:t>
      </w:r>
      <w:r w:rsidRPr="00DC3B81">
        <w:rPr>
          <w:rFonts w:eastAsia="Times New Roman" w:cs="Times New Roman"/>
          <w:color w:val="FF0000"/>
          <w:highlight w:val="yellow"/>
        </w:rPr>
        <w:t>Most of the absorption</w:t>
      </w:r>
      <w:r w:rsidRPr="00DC3B81">
        <w:rPr>
          <w:rFonts w:eastAsia="Times New Roman" w:cs="Times New Roman"/>
          <w:color w:val="FF0000"/>
        </w:rPr>
        <w:t xml:space="preserve"> due to excitation of collision-broadened lines </w:t>
      </w:r>
      <w:r w:rsidRPr="00DC3B81">
        <w:rPr>
          <w:rFonts w:eastAsia="Times New Roman" w:cs="Times New Roman"/>
          <w:color w:val="FF0000"/>
          <w:highlight w:val="yellow"/>
        </w:rPr>
        <w:t>occurs at the</w:t>
      </w:r>
      <w:r w:rsidRPr="00DC3B81">
        <w:rPr>
          <w:rFonts w:eastAsia="Times New Roman" w:cs="Times New Roman"/>
          <w:color w:val="FF0000"/>
        </w:rPr>
        <w:t xml:space="preserve"> 22-GHz line of water </w:t>
      </w:r>
      <w:proofErr w:type="spellStart"/>
      <w:r w:rsidRPr="00DC3B81">
        <w:rPr>
          <w:rFonts w:eastAsia="Times New Roman" w:cs="Times New Roman"/>
          <w:color w:val="FF0000"/>
        </w:rPr>
        <w:t>vapor</w:t>
      </w:r>
      <w:proofErr w:type="spellEnd"/>
      <w:r w:rsidRPr="00DC3B81">
        <w:rPr>
          <w:rFonts w:eastAsia="Times New Roman" w:cs="Times New Roman"/>
          <w:color w:val="FF0000"/>
        </w:rPr>
        <w:t xml:space="preserve"> and </w:t>
      </w:r>
      <w:r w:rsidRPr="00DC3B81">
        <w:rPr>
          <w:rFonts w:eastAsia="Times New Roman" w:cs="Times New Roman"/>
          <w:color w:val="FF0000"/>
          <w:highlight w:val="yellow"/>
        </w:rPr>
        <w:t>60-GHz line of oxygen</w:t>
      </w:r>
      <w:r w:rsidRPr="00DC3B81">
        <w:rPr>
          <w:rFonts w:eastAsia="Times New Roman" w:cs="Times New Roman"/>
          <w:color w:val="FF0000"/>
        </w:rPr>
        <w:t>.</w:t>
      </w:r>
      <w:r>
        <w:rPr>
          <w:rFonts w:eastAsia="Times New Roman" w:cs="Times New Roman"/>
          <w:color w:val="FF0000"/>
        </w:rPr>
        <w:t>]</w:t>
      </w:r>
    </w:p>
    <w:p w:rsidR="00DC3B81" w:rsidRDefault="00DC3B81" w:rsidP="00DC3B81">
      <w:pPr>
        <w:spacing w:before="100" w:beforeAutospacing="1" w:after="100" w:afterAutospacing="1"/>
        <w:rPr>
          <w:sz w:val="24"/>
          <w:szCs w:val="24"/>
        </w:rPr>
      </w:pPr>
      <w:r w:rsidRPr="00DC3B81">
        <w:rPr>
          <w:sz w:val="24"/>
          <w:szCs w:val="24"/>
        </w:rPr>
        <w:t xml:space="preserve">This all result in that our joint active RF beam steering antenna module with 16 transmit and 16 receive channels can transmit data at distances up to 500 meters using less than 5-watt* DC power at a very attractive cost level. This is possible due to the very high integration level of the </w:t>
      </w:r>
      <w:proofErr w:type="spellStart"/>
      <w:r w:rsidRPr="00DC3B81">
        <w:rPr>
          <w:sz w:val="24"/>
          <w:szCs w:val="24"/>
        </w:rPr>
        <w:t>Sivers</w:t>
      </w:r>
      <w:proofErr w:type="spellEnd"/>
      <w:r w:rsidRPr="00DC3B81">
        <w:rPr>
          <w:sz w:val="24"/>
          <w:szCs w:val="24"/>
        </w:rPr>
        <w:t xml:space="preserve"> IMA RFIC, which result in very few 3rd party components on the module, see the middle module picture, where you can see only a few passive components on the </w:t>
      </w:r>
    </w:p>
    <w:p w:rsidR="00DC3B81" w:rsidRPr="00DC3B81" w:rsidRDefault="00DC3B81" w:rsidP="00DC3B81">
      <w:pPr>
        <w:spacing w:before="100" w:beforeAutospacing="1" w:after="100" w:afterAutospacing="1"/>
        <w:rPr>
          <w:sz w:val="24"/>
          <w:szCs w:val="24"/>
        </w:rPr>
      </w:pPr>
      <w:proofErr w:type="gramStart"/>
      <w:r w:rsidRPr="00DC3B81">
        <w:rPr>
          <w:sz w:val="24"/>
          <w:szCs w:val="24"/>
        </w:rPr>
        <w:t>module</w:t>
      </w:r>
      <w:proofErr w:type="gramEnd"/>
      <w:r w:rsidRPr="00DC3B81">
        <w:rPr>
          <w:sz w:val="24"/>
          <w:szCs w:val="24"/>
        </w:rPr>
        <w:t xml:space="preserve">. And of course, also due to the low-cost Fujikura LCP material, which we only can access due to our partnership with Fujikura, we can differentiate the solution compared to the more standard type patch antennas, which both we as well as other companies offer using other substrates than LCP. When getting down to this level of detail, you will start to understand the “Wow-Factor” of this solution. Since the same type of solution can be applied on 5G (28-39 GHz), we see opportunities also in the 5G mm-wave </w:t>
      </w:r>
      <w:proofErr w:type="gramStart"/>
      <w:r w:rsidRPr="00DC3B81">
        <w:rPr>
          <w:sz w:val="24"/>
          <w:szCs w:val="24"/>
        </w:rPr>
        <w:t>market</w:t>
      </w:r>
      <w:proofErr w:type="gramEnd"/>
      <w:r w:rsidRPr="00DC3B81">
        <w:rPr>
          <w:sz w:val="24"/>
          <w:szCs w:val="24"/>
        </w:rPr>
        <w:t>, where we will address the second generation 5G RF-systems with a very compact and attractive solution. This brings us over to the second big buzz at MWC 2018, 5G!</w:t>
      </w:r>
    </w:p>
    <w:p w:rsidR="00DC3B81" w:rsidRPr="00DC3B81" w:rsidRDefault="00DC3B81" w:rsidP="00DC3B81">
      <w:pPr>
        <w:spacing w:before="100" w:beforeAutospacing="1" w:after="100" w:afterAutospacing="1"/>
        <w:rPr>
          <w:sz w:val="24"/>
          <w:szCs w:val="24"/>
        </w:rPr>
      </w:pPr>
      <w:r w:rsidRPr="00DC3B81">
        <w:rPr>
          <w:sz w:val="24"/>
          <w:szCs w:val="24"/>
        </w:rPr>
        <w:t>5G at MWC 2018</w:t>
      </w:r>
      <w:r w:rsidRPr="00DC3B81">
        <w:rPr>
          <w:sz w:val="24"/>
          <w:szCs w:val="24"/>
        </w:rPr>
        <w:br/>
        <w:t xml:space="preserve">As in 2017, 5G </w:t>
      </w:r>
      <w:proofErr w:type="gramStart"/>
      <w:r w:rsidRPr="00DC3B81">
        <w:rPr>
          <w:sz w:val="24"/>
          <w:szCs w:val="24"/>
        </w:rPr>
        <w:t>was</w:t>
      </w:r>
      <w:proofErr w:type="gramEnd"/>
      <w:r w:rsidRPr="00DC3B81">
        <w:rPr>
          <w:sz w:val="24"/>
          <w:szCs w:val="24"/>
        </w:rPr>
        <w:t xml:space="preserve"> the biggest buzz word at MWC. There are now a lot of things happening and the first trial systems are rolling out to the market in the US. Before we go into this, it is important to understand that 5G will not only run on mm-Wave, there will also be a macro coverage using sub 6 GHz 5G, which might be the biggest part of the 5G market. Even so, it is still too early to tell what the distribution between sub 6GHz and mm-Wave will be. I will talk about mm-Wave since this is where our focus is. Verizon Wireless (149 million customers), the biggest operator in the US, and China Mobile (887 million customers), the world’s biggest operator, are both testing mm-Wave 5G. These two large operators have different views and time plans. The main difference is that Verizon has already started trials in many cities for Fixed Wireless Access (FWA), which is the first use case for mm-Wave 5G. Verizon is using a Pre-5G standard and want a quick rollout to real customers starting already in 2019, while China Mobile sees a slower </w:t>
      </w:r>
      <w:proofErr w:type="gramStart"/>
      <w:r w:rsidRPr="00DC3B81">
        <w:rPr>
          <w:sz w:val="24"/>
          <w:szCs w:val="24"/>
        </w:rPr>
        <w:t>roll-out</w:t>
      </w:r>
      <w:proofErr w:type="gramEnd"/>
      <w:r w:rsidRPr="00DC3B81">
        <w:rPr>
          <w:sz w:val="24"/>
          <w:szCs w:val="24"/>
        </w:rPr>
        <w:t xml:space="preserve"> using the 5G-NR 3GPP standard with the main build-out in 2021. Verizon is using first generation 5G systems and seems to be happy with the current results of their tests, while China Mobile would like to see lower cost systems as well as lower power consumption. Of course, covering the Chinese population with small cells using mm-Wave would be </w:t>
      </w:r>
      <w:proofErr w:type="gramStart"/>
      <w:r w:rsidRPr="00DC3B81">
        <w:rPr>
          <w:sz w:val="24"/>
          <w:szCs w:val="24"/>
        </w:rPr>
        <w:t>costly,</w:t>
      </w:r>
      <w:proofErr w:type="gramEnd"/>
      <w:r w:rsidRPr="00DC3B81">
        <w:rPr>
          <w:sz w:val="24"/>
          <w:szCs w:val="24"/>
        </w:rPr>
        <w:t xml:space="preserve"> hence it is understandable that the second-generation mm-Wave 5G systems are required to address these issues. Addressing these second generation 5G systems is where we believes that our 5G consortium with Fujikura and </w:t>
      </w:r>
      <w:proofErr w:type="spellStart"/>
      <w:r w:rsidRPr="00DC3B81">
        <w:rPr>
          <w:sz w:val="24"/>
          <w:szCs w:val="24"/>
        </w:rPr>
        <w:t>Ampleon</w:t>
      </w:r>
      <w:proofErr w:type="spellEnd"/>
      <w:r w:rsidRPr="00DC3B81">
        <w:rPr>
          <w:sz w:val="24"/>
          <w:szCs w:val="24"/>
        </w:rPr>
        <w:t xml:space="preserve"> will be in the best possible position to offer both power efficiency and performance for each possible </w:t>
      </w:r>
      <w:proofErr w:type="spellStart"/>
      <w:r w:rsidRPr="00DC3B81">
        <w:rPr>
          <w:sz w:val="24"/>
          <w:szCs w:val="24"/>
        </w:rPr>
        <w:t>mmWave</w:t>
      </w:r>
      <w:proofErr w:type="spellEnd"/>
      <w:r w:rsidRPr="00DC3B81">
        <w:rPr>
          <w:sz w:val="24"/>
          <w:szCs w:val="24"/>
        </w:rPr>
        <w:t xml:space="preserve"> 5G use case. For example, bringing our highly integrated </w:t>
      </w:r>
      <w:r w:rsidRPr="00DC3B81">
        <w:rPr>
          <w:sz w:val="24"/>
          <w:szCs w:val="24"/>
          <w:highlight w:val="yellow"/>
        </w:rPr>
        <w:t>60 GHz RFIC chip to 5G frequencies would reduce complexity, cost and power consumption</w:t>
      </w:r>
      <w:r w:rsidRPr="00DC3B81">
        <w:rPr>
          <w:sz w:val="24"/>
          <w:szCs w:val="24"/>
        </w:rPr>
        <w:t xml:space="preserve">. In comparison, Ericsson’s current 130 nm </w:t>
      </w:r>
      <w:proofErr w:type="spellStart"/>
      <w:r w:rsidRPr="00DC3B81">
        <w:rPr>
          <w:sz w:val="24"/>
          <w:szCs w:val="24"/>
        </w:rPr>
        <w:t>SiGe</w:t>
      </w:r>
      <w:proofErr w:type="spellEnd"/>
      <w:r w:rsidRPr="00DC3B81">
        <w:rPr>
          <w:sz w:val="24"/>
          <w:szCs w:val="24"/>
        </w:rPr>
        <w:t xml:space="preserve"> 28 GHz </w:t>
      </w:r>
      <w:proofErr w:type="gramStart"/>
      <w:r w:rsidRPr="00DC3B81">
        <w:rPr>
          <w:sz w:val="24"/>
          <w:szCs w:val="24"/>
        </w:rPr>
        <w:t>chip</w:t>
      </w:r>
      <w:proofErr w:type="gramEnd"/>
      <w:r w:rsidRPr="00DC3B81">
        <w:rPr>
          <w:sz w:val="24"/>
          <w:szCs w:val="24"/>
        </w:rPr>
        <w:t xml:space="preserve"> consumes about 5 W per chip in their module, but that is without an internal PLL, VCO, and </w:t>
      </w:r>
      <w:proofErr w:type="spellStart"/>
      <w:r w:rsidRPr="00DC3B81">
        <w:rPr>
          <w:sz w:val="24"/>
          <w:szCs w:val="24"/>
        </w:rPr>
        <w:t>analog</w:t>
      </w:r>
      <w:proofErr w:type="spellEnd"/>
      <w:r w:rsidRPr="00DC3B81">
        <w:rPr>
          <w:sz w:val="24"/>
          <w:szCs w:val="24"/>
        </w:rPr>
        <w:t xml:space="preserve"> RX/TX base band. The message that we heard from most companies is that these challenges must be addressed with further development of 5G second generation solutions to support the roll-out of larger scale mm-Wave 5G. This message fits well with the strategy we have chosen for 5G, where our newly created 5G </w:t>
      </w:r>
      <w:proofErr w:type="gramStart"/>
      <w:r w:rsidRPr="00DC3B81">
        <w:rPr>
          <w:sz w:val="24"/>
          <w:szCs w:val="24"/>
        </w:rPr>
        <w:t>consortium</w:t>
      </w:r>
      <w:proofErr w:type="gramEnd"/>
      <w:r w:rsidRPr="00DC3B81">
        <w:rPr>
          <w:sz w:val="24"/>
          <w:szCs w:val="24"/>
        </w:rPr>
        <w:t xml:space="preserve"> plays a vital role. </w:t>
      </w:r>
    </w:p>
    <w:p w:rsidR="00DC3B81" w:rsidRPr="00DC3B81" w:rsidRDefault="00DC3B81" w:rsidP="00DC3B81">
      <w:pPr>
        <w:spacing w:before="100" w:beforeAutospacing="1" w:after="100" w:afterAutospacing="1"/>
        <w:rPr>
          <w:sz w:val="24"/>
          <w:szCs w:val="24"/>
        </w:rPr>
      </w:pPr>
      <w:r w:rsidRPr="00DC3B81">
        <w:rPr>
          <w:sz w:val="24"/>
          <w:szCs w:val="24"/>
        </w:rPr>
        <w:t>Conclusion</w:t>
      </w:r>
      <w:r w:rsidRPr="00DC3B81">
        <w:rPr>
          <w:sz w:val="24"/>
          <w:szCs w:val="24"/>
        </w:rPr>
        <w:br/>
      </w:r>
      <w:proofErr w:type="spellStart"/>
      <w:r w:rsidRPr="00DC3B81">
        <w:rPr>
          <w:sz w:val="24"/>
          <w:szCs w:val="24"/>
          <w:highlight w:val="yellow"/>
        </w:rPr>
        <w:t>WiGig</w:t>
      </w:r>
      <w:proofErr w:type="spellEnd"/>
      <w:r w:rsidRPr="00DC3B81">
        <w:rPr>
          <w:sz w:val="24"/>
          <w:szCs w:val="24"/>
          <w:highlight w:val="yellow"/>
        </w:rPr>
        <w:t xml:space="preserve"> and </w:t>
      </w:r>
      <w:proofErr w:type="gramStart"/>
      <w:r w:rsidRPr="00DC3B81">
        <w:rPr>
          <w:sz w:val="24"/>
          <w:szCs w:val="24"/>
          <w:highlight w:val="yellow"/>
        </w:rPr>
        <w:t>5G mm-Wave</w:t>
      </w:r>
      <w:proofErr w:type="gramEnd"/>
      <w:r w:rsidRPr="00DC3B81">
        <w:rPr>
          <w:sz w:val="24"/>
          <w:szCs w:val="24"/>
          <w:highlight w:val="yellow"/>
        </w:rPr>
        <w:t xml:space="preserve"> are coming</w:t>
      </w:r>
      <w:r w:rsidRPr="00DC3B81">
        <w:rPr>
          <w:sz w:val="24"/>
          <w:szCs w:val="24"/>
        </w:rPr>
        <w:t xml:space="preserve">, and the interest is very strong. </w:t>
      </w:r>
      <w:r w:rsidRPr="00DC3B81">
        <w:rPr>
          <w:sz w:val="24"/>
          <w:szCs w:val="24"/>
          <w:highlight w:val="yellow"/>
        </w:rPr>
        <w:t xml:space="preserve">We now have the first customer products on the market, via the CCS 60 GHz </w:t>
      </w:r>
      <w:proofErr w:type="spellStart"/>
      <w:r w:rsidRPr="00DC3B81">
        <w:rPr>
          <w:sz w:val="24"/>
          <w:szCs w:val="24"/>
          <w:highlight w:val="yellow"/>
        </w:rPr>
        <w:t>Metnet</w:t>
      </w:r>
      <w:proofErr w:type="spellEnd"/>
      <w:r w:rsidRPr="00DC3B81">
        <w:rPr>
          <w:sz w:val="24"/>
          <w:szCs w:val="24"/>
          <w:highlight w:val="yellow"/>
        </w:rPr>
        <w:t xml:space="preserve"> node</w:t>
      </w:r>
      <w:r w:rsidRPr="00DC3B81">
        <w:rPr>
          <w:sz w:val="24"/>
          <w:szCs w:val="24"/>
        </w:rPr>
        <w:t xml:space="preserve">, which had great traction at MWC this year. We believe that our focus on a </w:t>
      </w:r>
      <w:proofErr w:type="spellStart"/>
      <w:r w:rsidRPr="00DC3B81">
        <w:rPr>
          <w:sz w:val="24"/>
          <w:szCs w:val="24"/>
        </w:rPr>
        <w:t>WiGig</w:t>
      </w:r>
      <w:proofErr w:type="spellEnd"/>
      <w:r w:rsidRPr="00DC3B81">
        <w:rPr>
          <w:sz w:val="24"/>
          <w:szCs w:val="24"/>
        </w:rPr>
        <w:t xml:space="preserve"> infrastructure RF solution will start to pay off and that this market will start with FWA rollouts during 2018. We have confirmed that our technology is well positioned for </w:t>
      </w:r>
      <w:proofErr w:type="gramStart"/>
      <w:r w:rsidRPr="00DC3B81">
        <w:rPr>
          <w:sz w:val="24"/>
          <w:szCs w:val="24"/>
        </w:rPr>
        <w:t>second generation</w:t>
      </w:r>
      <w:proofErr w:type="gramEnd"/>
      <w:r w:rsidRPr="00DC3B81">
        <w:rPr>
          <w:sz w:val="24"/>
          <w:szCs w:val="24"/>
        </w:rPr>
        <w:t xml:space="preserve"> 5G networks from 2020 and forward. We also think that we have released a “Wow-Factor” to the eco-system by sharing more details about our products and partnerships. Therefore, we have great hopes that we will be able to harvest the seeds planted at MWC 2018 during the rest of the year and hopefully for many more years to come. </w:t>
      </w:r>
    </w:p>
    <w:p w:rsidR="00DC3B81" w:rsidRPr="00DC3B81" w:rsidRDefault="00DC3B81" w:rsidP="00DC3B81">
      <w:pPr>
        <w:spacing w:before="100" w:beforeAutospacing="1" w:after="100" w:afterAutospacing="1"/>
        <w:rPr>
          <w:sz w:val="24"/>
          <w:szCs w:val="24"/>
        </w:rPr>
      </w:pPr>
      <w:r w:rsidRPr="00DC3B81">
        <w:rPr>
          <w:sz w:val="24"/>
          <w:szCs w:val="24"/>
        </w:rPr>
        <w:t>Anders Storm</w:t>
      </w:r>
      <w:r w:rsidRPr="00DC3B81">
        <w:rPr>
          <w:sz w:val="24"/>
          <w:szCs w:val="24"/>
        </w:rPr>
        <w:br/>
        <w:t>CEO</w:t>
      </w:r>
      <w:r w:rsidRPr="00DC3B81">
        <w:rPr>
          <w:sz w:val="24"/>
          <w:szCs w:val="24"/>
        </w:rPr>
        <w:br/>
      </w:r>
      <w:proofErr w:type="spellStart"/>
      <w:r w:rsidRPr="00DC3B81">
        <w:rPr>
          <w:sz w:val="24"/>
          <w:szCs w:val="24"/>
        </w:rPr>
        <w:t>Sivers</w:t>
      </w:r>
      <w:proofErr w:type="spellEnd"/>
      <w:r w:rsidRPr="00DC3B81">
        <w:rPr>
          <w:sz w:val="24"/>
          <w:szCs w:val="24"/>
        </w:rPr>
        <w:t xml:space="preserve"> IMA</w:t>
      </w:r>
    </w:p>
    <w:p w:rsidR="00DC3B81" w:rsidRPr="00DC3B81" w:rsidRDefault="00DC3B81" w:rsidP="00DC3B81">
      <w:pPr>
        <w:spacing w:before="100" w:beforeAutospacing="1" w:after="100" w:afterAutospacing="1"/>
        <w:rPr>
          <w:sz w:val="24"/>
          <w:szCs w:val="24"/>
        </w:rPr>
      </w:pPr>
      <w:r w:rsidRPr="00DC3B81">
        <w:rPr>
          <w:sz w:val="24"/>
          <w:szCs w:val="24"/>
        </w:rPr>
        <w:t xml:space="preserve">*Including all components from </w:t>
      </w:r>
      <w:proofErr w:type="spellStart"/>
      <w:r w:rsidRPr="00DC3B81">
        <w:rPr>
          <w:sz w:val="24"/>
          <w:szCs w:val="24"/>
        </w:rPr>
        <w:t>analog</w:t>
      </w:r>
      <w:proofErr w:type="spellEnd"/>
      <w:r w:rsidRPr="00DC3B81">
        <w:rPr>
          <w:sz w:val="24"/>
          <w:szCs w:val="24"/>
        </w:rPr>
        <w:t xml:space="preserve"> RX and TX base band, VCO, PLL, PA (power amplifiers) etc., i.e. a complete RF module.</w:t>
      </w:r>
    </w:p>
    <w:p w:rsidR="006E340A" w:rsidRPr="00DC3B81" w:rsidRDefault="006E340A">
      <w:pPr>
        <w:rPr>
          <w:sz w:val="24"/>
          <w:szCs w:val="24"/>
        </w:rPr>
      </w:pPr>
    </w:p>
    <w:sectPr w:rsidR="006E340A" w:rsidRPr="00DC3B81" w:rsidSect="006E340A">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51"/>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3B81"/>
    <w:rsid w:val="006E340A"/>
    <w:rsid w:val="00B473ED"/>
    <w:rsid w:val="00DC3B8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Arial"/>
        <w:sz w:val="22"/>
        <w:szCs w:val="22"/>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C3B81"/>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3B81"/>
    <w:rPr>
      <w:rFonts w:ascii="Times" w:hAnsi="Times"/>
      <w:b/>
      <w:bCs/>
      <w:kern w:val="36"/>
      <w:sz w:val="48"/>
      <w:szCs w:val="48"/>
    </w:rPr>
  </w:style>
  <w:style w:type="paragraph" w:styleId="NormalWeb">
    <w:name w:val="Normal (Web)"/>
    <w:basedOn w:val="Normal"/>
    <w:uiPriority w:val="99"/>
    <w:semiHidden/>
    <w:unhideWhenUsed/>
    <w:rsid w:val="00DC3B81"/>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DC3B81"/>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rial"/>
        <w:sz w:val="22"/>
        <w:szCs w:val="22"/>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C3B81"/>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3B81"/>
    <w:rPr>
      <w:rFonts w:ascii="Times" w:hAnsi="Times"/>
      <w:b/>
      <w:bCs/>
      <w:kern w:val="36"/>
      <w:sz w:val="48"/>
      <w:szCs w:val="48"/>
    </w:rPr>
  </w:style>
  <w:style w:type="paragraph" w:styleId="NormalWeb">
    <w:name w:val="Normal (Web)"/>
    <w:basedOn w:val="Normal"/>
    <w:uiPriority w:val="99"/>
    <w:semiHidden/>
    <w:unhideWhenUsed/>
    <w:rsid w:val="00DC3B81"/>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DC3B8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1651300">
      <w:bodyDiv w:val="1"/>
      <w:marLeft w:val="0"/>
      <w:marRight w:val="0"/>
      <w:marTop w:val="0"/>
      <w:marBottom w:val="0"/>
      <w:divBdr>
        <w:top w:val="none" w:sz="0" w:space="0" w:color="auto"/>
        <w:left w:val="none" w:sz="0" w:space="0" w:color="auto"/>
        <w:bottom w:val="none" w:sz="0" w:space="0" w:color="auto"/>
        <w:right w:val="none" w:sz="0" w:space="0" w:color="auto"/>
      </w:divBdr>
      <w:divsChild>
        <w:div w:id="1780291593">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s://www.siversima.com/news/mobile-world-congress-2018/" TargetMode="Externa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yperlink" Target="https://www.sciencedirect.com/topics/engineering/gaseous-molecule" TargetMode="External"/><Relationship Id="rId9" Type="http://schemas.openxmlformats.org/officeDocument/2006/relationships/hyperlink" Target="https://www.sciencedirect.com/topics/engineering/dipole-moment" TargetMode="External"/><Relationship Id="rId10" Type="http://schemas.openxmlformats.org/officeDocument/2006/relationships/hyperlink" Target="https://www.sciencedirect.com/topics/engineering/rotational-energ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4</Pages>
  <Words>1354</Words>
  <Characters>7720</Characters>
  <Application>Microsoft Macintosh Word</Application>
  <DocSecurity>0</DocSecurity>
  <Lines>64</Lines>
  <Paragraphs>18</Paragraphs>
  <ScaleCrop>false</ScaleCrop>
  <Company/>
  <LinksUpToDate>false</LinksUpToDate>
  <CharactersWithSpaces>9056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Hito</dc:creator>
  <cp:keywords/>
  <dc:description/>
  <cp:lastModifiedBy>Hito</cp:lastModifiedBy>
  <cp:revision>1</cp:revision>
  <dcterms:created xsi:type="dcterms:W3CDTF">2020-02-24T20:34:00Z</dcterms:created>
  <dcterms:modified xsi:type="dcterms:W3CDTF">2020-02-28T21:00:00Z</dcterms:modified>
</cp:coreProperties>
</file>